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18F87" w14:textId="1BEAA44B" w:rsidR="00FC0E22" w:rsidRPr="00FC0E22" w:rsidRDefault="00FC0E22" w:rsidP="00595B11">
      <w:pPr>
        <w:bidi/>
        <w:spacing w:line="360" w:lineRule="auto"/>
        <w:ind w:left="720"/>
        <w:rPr>
          <w:rFonts w:cs="B Jadid"/>
          <w:sz w:val="28"/>
          <w:szCs w:val="28"/>
        </w:rPr>
      </w:pPr>
      <w:r w:rsidRPr="00AC70A6">
        <w:rPr>
          <w:rFonts w:cs="B Jadid"/>
          <w:sz w:val="28"/>
          <w:szCs w:val="28"/>
          <w:rtl/>
        </w:rPr>
        <w:t xml:space="preserve">درس خارج فقه کتاب نکاح جلسه </w:t>
      </w:r>
      <w:r w:rsidRPr="00AC70A6">
        <w:rPr>
          <w:rFonts w:cs="B Jadid" w:hint="cs"/>
          <w:sz w:val="28"/>
          <w:szCs w:val="28"/>
          <w:rtl/>
        </w:rPr>
        <w:t>چهارصد و</w:t>
      </w:r>
      <w:r>
        <w:rPr>
          <w:rFonts w:cs="B Jadid" w:hint="cs"/>
          <w:sz w:val="28"/>
          <w:szCs w:val="28"/>
          <w:rtl/>
          <w:lang w:bidi="fa-IR"/>
        </w:rPr>
        <w:t xml:space="preserve"> شصت و هفتم   سه شنبه</w:t>
      </w:r>
      <w:r w:rsidRPr="00AC70A6">
        <w:rPr>
          <w:rFonts w:cs="B Jadid" w:hint="cs"/>
          <w:sz w:val="28"/>
          <w:szCs w:val="28"/>
          <w:rtl/>
          <w:lang w:bidi="fa-IR"/>
        </w:rPr>
        <w:t xml:space="preserve"> </w:t>
      </w:r>
      <w:r>
        <w:rPr>
          <w:rFonts w:cs="B Jadid" w:hint="cs"/>
          <w:sz w:val="28"/>
          <w:szCs w:val="28"/>
          <w:rtl/>
          <w:lang w:bidi="fa-IR"/>
        </w:rPr>
        <w:t>17</w:t>
      </w:r>
      <w:r w:rsidRPr="00AC70A6">
        <w:rPr>
          <w:rFonts w:cs="B Jadid" w:hint="cs"/>
          <w:sz w:val="28"/>
          <w:szCs w:val="28"/>
          <w:rtl/>
        </w:rPr>
        <w:t>/</w:t>
      </w:r>
      <w:r w:rsidR="008A0B6D">
        <w:rPr>
          <w:rFonts w:cs="B Jadid" w:hint="cs"/>
          <w:sz w:val="28"/>
          <w:szCs w:val="28"/>
          <w:rtl/>
        </w:rPr>
        <w:t>02</w:t>
      </w:r>
      <w:r w:rsidRPr="00AC70A6">
        <w:rPr>
          <w:rFonts w:cs="B Jadid" w:hint="cs"/>
          <w:sz w:val="28"/>
          <w:szCs w:val="28"/>
          <w:rtl/>
        </w:rPr>
        <w:t>/14</w:t>
      </w:r>
      <w:r w:rsidR="008A0B6D">
        <w:rPr>
          <w:rFonts w:cs="B Jadid" w:hint="cs"/>
          <w:sz w:val="28"/>
          <w:szCs w:val="28"/>
          <w:rtl/>
        </w:rPr>
        <w:t>01</w:t>
      </w:r>
    </w:p>
    <w:p w14:paraId="63E8CADD" w14:textId="77777777" w:rsidR="00FC0E22" w:rsidRDefault="00FC0E22" w:rsidP="00595B11">
      <w:pPr>
        <w:bidi/>
        <w:ind w:left="1440"/>
        <w:rPr>
          <w:rFonts w:cs="B Mitra"/>
          <w:sz w:val="28"/>
          <w:szCs w:val="28"/>
          <w:lang w:bidi="fa-IR"/>
        </w:rPr>
      </w:pPr>
    </w:p>
    <w:p w14:paraId="60BE3281" w14:textId="62BC1119" w:rsidR="00FC0E22" w:rsidRPr="008A0B6D" w:rsidRDefault="00FC0E22" w:rsidP="00595B11">
      <w:pPr>
        <w:bidi/>
        <w:ind w:left="1440"/>
        <w:rPr>
          <w:rFonts w:cs="B Mitra"/>
          <w:b/>
          <w:bCs/>
          <w:sz w:val="28"/>
          <w:szCs w:val="28"/>
        </w:rPr>
      </w:pPr>
      <w:r w:rsidRPr="008A0B6D">
        <w:rPr>
          <w:rFonts w:cs="B Mitra"/>
          <w:b/>
          <w:bCs/>
          <w:sz w:val="28"/>
          <w:szCs w:val="28"/>
          <w:rtl/>
          <w:lang w:bidi="fa-IR"/>
        </w:rPr>
        <w:t>محصّل از اخبار باب:</w:t>
      </w:r>
    </w:p>
    <w:p w14:paraId="7BA455DA" w14:textId="77777777" w:rsidR="00FC0E22" w:rsidRPr="00FC0E22" w:rsidRDefault="00FC0E22" w:rsidP="00595B11">
      <w:pPr>
        <w:bidi/>
        <w:ind w:left="1440"/>
        <w:rPr>
          <w:rFonts w:cs="B Mitra"/>
          <w:sz w:val="28"/>
          <w:szCs w:val="28"/>
        </w:rPr>
      </w:pPr>
      <w:r w:rsidRPr="00FC0E22">
        <w:rPr>
          <w:rFonts w:cs="B Mitra"/>
          <w:sz w:val="28"/>
          <w:szCs w:val="28"/>
          <w:rtl/>
          <w:lang w:bidi="fa-IR"/>
        </w:rPr>
        <w:t>آنچه که از مجموع اخبار بحث عيوب زوجه برداشت می</w:t>
      </w:r>
      <w:r w:rsidRPr="00FC0E22">
        <w:rPr>
          <w:rFonts w:cs="B Mitra"/>
          <w:sz w:val="28"/>
          <w:szCs w:val="28"/>
          <w:cs/>
          <w:lang w:bidi="fa-IR"/>
        </w:rPr>
        <w:t>‎</w:t>
      </w:r>
      <w:r w:rsidRPr="00FC0E22">
        <w:rPr>
          <w:rFonts w:cs="B Mitra"/>
          <w:sz w:val="28"/>
          <w:szCs w:val="28"/>
          <w:rtl/>
          <w:lang w:bidi="fa-IR"/>
        </w:rPr>
        <w:t>شود اين است که اگر عيوبی مانند: جنون، عفل يا قرن، برص، جذام، عمی و عرج در زن وجود داشته باشد، زوج حق فسخ خواهد داشت، اما در غير آنها حق فسخ مبتنی بر وجود تدليس است.</w:t>
      </w:r>
    </w:p>
    <w:p w14:paraId="6A7E87F9" w14:textId="77777777" w:rsidR="00FC0E22" w:rsidRPr="00FC0E22" w:rsidRDefault="00FC0E22" w:rsidP="00595B11">
      <w:pPr>
        <w:bidi/>
        <w:ind w:left="1440"/>
        <w:rPr>
          <w:rFonts w:cs="B Mitra"/>
          <w:sz w:val="28"/>
          <w:szCs w:val="28"/>
        </w:rPr>
      </w:pPr>
      <w:r w:rsidRPr="00FC0E22">
        <w:rPr>
          <w:rFonts w:cs="B Mitra"/>
          <w:sz w:val="28"/>
          <w:szCs w:val="28"/>
          <w:rtl/>
          <w:lang w:bidi="fa-IR"/>
        </w:rPr>
        <w:t>بلکه با توجه به مجموع اخبار باب (اعم از اخبار عيوب مرد و زن) بعيد نيست گفته شود که عيوب غير جنون در زن و مرد به سه دسته تقسيم می</w:t>
      </w:r>
      <w:r w:rsidRPr="00FC0E22">
        <w:rPr>
          <w:rFonts w:cs="B Mitra"/>
          <w:sz w:val="28"/>
          <w:szCs w:val="28"/>
          <w:cs/>
          <w:lang w:bidi="fa-IR"/>
        </w:rPr>
        <w:t>‎</w:t>
      </w:r>
      <w:r w:rsidRPr="00FC0E22">
        <w:rPr>
          <w:rFonts w:cs="B Mitra"/>
          <w:sz w:val="28"/>
          <w:szCs w:val="28"/>
          <w:rtl/>
          <w:lang w:bidi="fa-IR"/>
        </w:rPr>
        <w:t>شوند: 1 ـ عيوبی که منجر به عدم امکان دخول می</w:t>
      </w:r>
      <w:r w:rsidRPr="00FC0E22">
        <w:rPr>
          <w:rFonts w:cs="B Mitra"/>
          <w:sz w:val="28"/>
          <w:szCs w:val="28"/>
          <w:cs/>
          <w:lang w:bidi="fa-IR"/>
        </w:rPr>
        <w:t>‎</w:t>
      </w:r>
      <w:r w:rsidRPr="00FC0E22">
        <w:rPr>
          <w:rFonts w:cs="B Mitra"/>
          <w:sz w:val="28"/>
          <w:szCs w:val="28"/>
          <w:rtl/>
          <w:lang w:bidi="fa-IR"/>
        </w:rPr>
        <w:t>گردند 2 ـ عيوبی که از جهت دخول منعی ايجاد نمی</w:t>
      </w:r>
      <w:r w:rsidRPr="00FC0E22">
        <w:rPr>
          <w:rFonts w:cs="B Mitra"/>
          <w:sz w:val="28"/>
          <w:szCs w:val="28"/>
          <w:cs/>
          <w:lang w:bidi="fa-IR"/>
        </w:rPr>
        <w:t>‎</w:t>
      </w:r>
      <w:r w:rsidRPr="00FC0E22">
        <w:rPr>
          <w:rFonts w:cs="B Mitra"/>
          <w:sz w:val="28"/>
          <w:szCs w:val="28"/>
          <w:rtl/>
          <w:lang w:bidi="fa-IR"/>
        </w:rPr>
        <w:t>کنند.</w:t>
      </w:r>
    </w:p>
    <w:p w14:paraId="371C83C0" w14:textId="77777777" w:rsidR="00FC0E22" w:rsidRPr="00FC0E22" w:rsidRDefault="00FC0E22" w:rsidP="00595B11">
      <w:pPr>
        <w:bidi/>
        <w:ind w:left="1440"/>
        <w:rPr>
          <w:rFonts w:cs="B Mitra"/>
          <w:sz w:val="28"/>
          <w:szCs w:val="28"/>
          <w:lang w:bidi="fa-IR"/>
        </w:rPr>
      </w:pPr>
      <w:r w:rsidRPr="00FC0E22">
        <w:rPr>
          <w:rFonts w:cs="B Mitra"/>
          <w:sz w:val="28"/>
          <w:szCs w:val="28"/>
          <w:rtl/>
          <w:lang w:bidi="fa-IR"/>
        </w:rPr>
        <w:t>در دسته اول از اين عيوب ـ مثل: عنن و جب در مرد و قرن، عفل و رتق</w:t>
      </w:r>
      <w:r>
        <w:rPr>
          <w:rFonts w:cs="B Mitra"/>
          <w:sz w:val="28"/>
          <w:szCs w:val="28"/>
          <w:lang w:bidi="fa-IR"/>
        </w:rPr>
        <w:t xml:space="preserve"> </w:t>
      </w:r>
      <w:r w:rsidRPr="00FC0E22">
        <w:rPr>
          <w:rFonts w:cs="B Mitra"/>
          <w:sz w:val="28"/>
          <w:szCs w:val="28"/>
          <w:rtl/>
          <w:lang w:bidi="fa-IR"/>
        </w:rPr>
        <w:t>در زن ـ مجرد وجود چنين عيوبی سبب حق فسخ برای طرف مقابل می</w:t>
      </w:r>
      <w:r w:rsidRPr="00FC0E22">
        <w:rPr>
          <w:rFonts w:cs="B Mitra"/>
          <w:sz w:val="28"/>
          <w:szCs w:val="28"/>
          <w:cs/>
          <w:lang w:bidi="fa-IR"/>
        </w:rPr>
        <w:t>‎</w:t>
      </w:r>
      <w:r w:rsidRPr="00FC0E22">
        <w:rPr>
          <w:rFonts w:cs="B Mitra"/>
          <w:sz w:val="28"/>
          <w:szCs w:val="28"/>
          <w:rtl/>
          <w:lang w:bidi="fa-IR"/>
        </w:rPr>
        <w:t>گردد، اعم از اين که طرفی که دارای عيب است، خود آگاه به وجود عيب بوده باشد يا نه.</w:t>
      </w:r>
    </w:p>
    <w:p w14:paraId="5BF738C3" w14:textId="77777777" w:rsidR="00FC0E22" w:rsidRPr="00FC0E22" w:rsidRDefault="00FC0E22" w:rsidP="00595B11">
      <w:pPr>
        <w:bidi/>
        <w:ind w:left="1440"/>
        <w:rPr>
          <w:rFonts w:cs="B Mitra"/>
          <w:sz w:val="28"/>
          <w:szCs w:val="28"/>
          <w:lang w:bidi="fa-IR"/>
        </w:rPr>
      </w:pPr>
      <w:r w:rsidRPr="00FC0E22">
        <w:rPr>
          <w:rFonts w:cs="B Mitra"/>
          <w:sz w:val="28"/>
          <w:szCs w:val="28"/>
          <w:rtl/>
          <w:lang w:bidi="fa-IR"/>
        </w:rPr>
        <w:t>اما در عيوب دسته دوم، ثبوت حق فسخ برای طرف مقابل متوقف بر تحقق تدليس است.</w:t>
      </w:r>
    </w:p>
    <w:p w14:paraId="36496CC7" w14:textId="77777777" w:rsidR="00FC0E22" w:rsidRPr="00FC0E22" w:rsidRDefault="00FC0E22" w:rsidP="00595B11">
      <w:pPr>
        <w:bidi/>
        <w:ind w:left="1440"/>
        <w:rPr>
          <w:rFonts w:cs="B Mitra"/>
          <w:sz w:val="28"/>
          <w:szCs w:val="28"/>
          <w:lang w:bidi="fa-IR"/>
        </w:rPr>
      </w:pPr>
      <w:r w:rsidRPr="00FC0E22">
        <w:rPr>
          <w:rFonts w:cs="B Mitra"/>
          <w:sz w:val="28"/>
          <w:szCs w:val="28"/>
          <w:rtl/>
          <w:lang w:bidi="fa-IR"/>
        </w:rPr>
        <w:t>در جنون نيز مجرد وجود آن ولو بدون تدليس ولیّ، مستلزم خيار است.</w:t>
      </w:r>
    </w:p>
    <w:p w14:paraId="39DEE343" w14:textId="2DD9E2A5" w:rsidR="00FC0E22" w:rsidRDefault="00FC0E22" w:rsidP="00595B11">
      <w:pPr>
        <w:bidi/>
        <w:ind w:left="1440"/>
        <w:rPr>
          <w:rFonts w:cs="B Mitra"/>
          <w:sz w:val="28"/>
          <w:szCs w:val="28"/>
          <w:lang w:bidi="fa-IR"/>
        </w:rPr>
      </w:pPr>
      <w:r w:rsidRPr="00FC0E22">
        <w:rPr>
          <w:rFonts w:cs="B Mitra"/>
          <w:sz w:val="28"/>
          <w:szCs w:val="28"/>
          <w:rtl/>
          <w:lang w:bidi="fa-IR"/>
        </w:rPr>
        <w:t>مؤيد اين که عيوب مانع از وطی مطلقاً موجب حق فسخ هستند، اين است که همان گونه که سابقاً گذشت، در جب و عنن حاصل بعد از عقد و قبل از وطی، مقتضای ادله ثبوت خيار برای زوجه بود، در حالی که تدليس در اين مورد مصداقی نخواهد داشت.</w:t>
      </w:r>
    </w:p>
    <w:p w14:paraId="0B9ACB36" w14:textId="77777777" w:rsidR="00FC0E22" w:rsidRPr="00FC0E22" w:rsidRDefault="00FC0E22" w:rsidP="00595B11">
      <w:pPr>
        <w:bidi/>
        <w:ind w:left="1440"/>
        <w:rPr>
          <w:rFonts w:cs="B Mitra"/>
          <w:sz w:val="28"/>
          <w:szCs w:val="28"/>
          <w:lang w:bidi="fa-IR"/>
        </w:rPr>
      </w:pPr>
      <w:r w:rsidRPr="00FC0E22">
        <w:rPr>
          <w:rFonts w:cs="B Mitra"/>
          <w:sz w:val="28"/>
          <w:szCs w:val="28"/>
          <w:rtl/>
          <w:lang w:bidi="fa-IR"/>
        </w:rPr>
        <w:t>همچنان که آنچه از صحيحه ابی بصير، قال: «سألت أبا عبدالله(ع) عن امرأة ابتلي زوجها فلا يقدر على الجماع، أتفارقه؟ قال: نعم، إن شاءت...» و نيز روايت أبي الصبّاح الكنانيّ، قال: «سألت أبا عبدالله(ع) عن امرأة ابتلي زوجها فلا يقدر على الجماع أبداً، أتفارقه؟ قال: نعم إن شاءت.» برمی</w:t>
      </w:r>
      <w:r w:rsidRPr="00FC0E22">
        <w:rPr>
          <w:rFonts w:cs="B Mitra"/>
          <w:sz w:val="28"/>
          <w:szCs w:val="28"/>
          <w:cs/>
          <w:lang w:bidi="fa-IR"/>
        </w:rPr>
        <w:t>‎</w:t>
      </w:r>
      <w:r w:rsidRPr="00FC0E22">
        <w:rPr>
          <w:rFonts w:cs="B Mitra"/>
          <w:sz w:val="28"/>
          <w:szCs w:val="28"/>
          <w:rtl/>
          <w:lang w:bidi="fa-IR"/>
        </w:rPr>
        <w:t>آيد اين است که آنچه که مانع از تحقق جماع گردد ولو بعد از عقد حادث شود، سبب حق فسخ برای زوج می</w:t>
      </w:r>
      <w:r w:rsidRPr="00FC0E22">
        <w:rPr>
          <w:rFonts w:cs="B Mitra"/>
          <w:sz w:val="28"/>
          <w:szCs w:val="28"/>
          <w:cs/>
          <w:lang w:bidi="fa-IR"/>
        </w:rPr>
        <w:t>‎</w:t>
      </w:r>
      <w:r w:rsidRPr="00FC0E22">
        <w:rPr>
          <w:rFonts w:cs="B Mitra"/>
          <w:sz w:val="28"/>
          <w:szCs w:val="28"/>
          <w:rtl/>
          <w:lang w:bidi="fa-IR"/>
        </w:rPr>
        <w:t>شود، هرچند اطلاق اين دو روايت که شامل حدوث عيب بعد از تحقق وطی نيز می</w:t>
      </w:r>
      <w:r w:rsidRPr="00FC0E22">
        <w:rPr>
          <w:rFonts w:cs="B Mitra"/>
          <w:sz w:val="28"/>
          <w:szCs w:val="28"/>
          <w:cs/>
          <w:lang w:bidi="fa-IR"/>
        </w:rPr>
        <w:t>‎</w:t>
      </w:r>
      <w:r w:rsidRPr="00FC0E22">
        <w:rPr>
          <w:rFonts w:cs="B Mitra"/>
          <w:sz w:val="28"/>
          <w:szCs w:val="28"/>
          <w:rtl/>
          <w:lang w:bidi="fa-IR"/>
        </w:rPr>
        <w:t>شود، با ادله ديگری که سابقاً ذکر شد، تقييد می</w:t>
      </w:r>
      <w:r w:rsidRPr="00FC0E22">
        <w:rPr>
          <w:rFonts w:cs="B Mitra"/>
          <w:sz w:val="28"/>
          <w:szCs w:val="28"/>
          <w:cs/>
          <w:lang w:bidi="fa-IR"/>
        </w:rPr>
        <w:t>‎</w:t>
      </w:r>
      <w:r w:rsidRPr="00FC0E22">
        <w:rPr>
          <w:rFonts w:cs="B Mitra"/>
          <w:sz w:val="28"/>
          <w:szCs w:val="28"/>
          <w:rtl/>
          <w:lang w:bidi="fa-IR"/>
        </w:rPr>
        <w:t>خورد.</w:t>
      </w:r>
    </w:p>
    <w:p w14:paraId="4C7295DB" w14:textId="77777777" w:rsidR="00FC0E22" w:rsidRPr="00FC0E22" w:rsidRDefault="00FC0E22" w:rsidP="00595B11">
      <w:pPr>
        <w:bidi/>
        <w:ind w:left="1440"/>
        <w:rPr>
          <w:rFonts w:cs="B Mitra"/>
          <w:sz w:val="28"/>
          <w:szCs w:val="28"/>
          <w:lang w:bidi="fa-IR"/>
        </w:rPr>
      </w:pPr>
      <w:r w:rsidRPr="00FC0E22">
        <w:rPr>
          <w:rFonts w:cs="B Mitra"/>
          <w:sz w:val="28"/>
          <w:szCs w:val="28"/>
          <w:rtl/>
          <w:lang w:bidi="fa-IR"/>
        </w:rPr>
        <w:t>و مؤيد اين که در عيوب ديگر، ثبوت حق فسخ مبتنی بر وجود تدليس هستند، اين است که در خصوص خصاء زوج ـ همان گونه که سابقاً بيان شد</w:t>
      </w:r>
    </w:p>
    <w:p w14:paraId="21704CA6" w14:textId="77777777" w:rsidR="00FC0E22" w:rsidRPr="00FC0E22" w:rsidRDefault="00FC0E22" w:rsidP="00595B11">
      <w:pPr>
        <w:bidi/>
        <w:ind w:left="1440"/>
        <w:rPr>
          <w:rFonts w:cs="B Mitra"/>
          <w:sz w:val="28"/>
          <w:szCs w:val="28"/>
          <w:lang w:bidi="fa-IR"/>
        </w:rPr>
      </w:pPr>
      <w:r w:rsidRPr="00FC0E22">
        <w:rPr>
          <w:rFonts w:cs="B Mitra"/>
          <w:sz w:val="28"/>
          <w:szCs w:val="28"/>
          <w:rtl/>
          <w:lang w:bidi="fa-IR"/>
        </w:rPr>
        <w:t>ـ ثبوت حق فسخ برای زوجه منوط بر تدليس است.</w:t>
      </w:r>
    </w:p>
    <w:p w14:paraId="6C3946A2" w14:textId="77777777" w:rsidR="00FC0E22" w:rsidRPr="00FC0E22" w:rsidRDefault="00FC0E22" w:rsidP="00595B11">
      <w:pPr>
        <w:bidi/>
        <w:ind w:left="1440"/>
        <w:rPr>
          <w:rFonts w:cs="B Mitra"/>
          <w:sz w:val="28"/>
          <w:szCs w:val="28"/>
          <w:lang w:bidi="fa-IR"/>
        </w:rPr>
      </w:pPr>
      <w:r w:rsidRPr="00FC0E22">
        <w:rPr>
          <w:rFonts w:cs="B Mitra"/>
          <w:sz w:val="28"/>
          <w:szCs w:val="28"/>
          <w:rtl/>
          <w:lang w:bidi="fa-IR"/>
        </w:rPr>
        <w:lastRenderedPageBreak/>
        <w:t>مؤيد اين که وجود جنون بدون تدليس نيز موجب خيار است معتبره علی بن ابی حمزه است: قال: «سئل أبو إبراهيم(ع) عن المرأة يكون لها زوج وقد أُصيب في عقله من بعدما تزوّجها أو عرض له جنون؟ فقال: لها أن تنزع نفسها منه إن شاءت.» که دلالت بر ثبوت حق فسخ برای زوجه در مورد جنون بعد از عقد و بلکه بعد از وطی دارد.</w:t>
      </w:r>
    </w:p>
    <w:p w14:paraId="6D0BFA44" w14:textId="77777777" w:rsidR="00FC0E22" w:rsidRPr="00FC0E22" w:rsidRDefault="00FC0E22" w:rsidP="00595B11">
      <w:pPr>
        <w:bidi/>
        <w:ind w:left="1440"/>
        <w:rPr>
          <w:rFonts w:cs="B Mitra"/>
          <w:sz w:val="28"/>
          <w:szCs w:val="28"/>
          <w:lang w:bidi="fa-IR"/>
        </w:rPr>
      </w:pPr>
      <w:r w:rsidRPr="00FC0E22">
        <w:rPr>
          <w:rFonts w:cs="B Mitra"/>
          <w:sz w:val="28"/>
          <w:szCs w:val="28"/>
          <w:rtl/>
          <w:lang w:bidi="fa-IR"/>
        </w:rPr>
        <w:t>و با توجه به مطلب فوق، وجه جمع بين اخبار عيوب زوجه معلوم می</w:t>
      </w:r>
      <w:r w:rsidRPr="00FC0E22">
        <w:rPr>
          <w:rFonts w:cs="B Mitra"/>
          <w:sz w:val="28"/>
          <w:szCs w:val="28"/>
          <w:cs/>
          <w:lang w:bidi="fa-IR"/>
        </w:rPr>
        <w:t>‎</w:t>
      </w:r>
      <w:r w:rsidRPr="00FC0E22">
        <w:rPr>
          <w:rFonts w:cs="B Mitra"/>
          <w:sz w:val="28"/>
          <w:szCs w:val="28"/>
          <w:rtl/>
          <w:lang w:bidi="fa-IR"/>
        </w:rPr>
        <w:t>شود، بدين معنا که می</w:t>
      </w:r>
      <w:r w:rsidRPr="00FC0E22">
        <w:rPr>
          <w:rFonts w:cs="B Mitra"/>
          <w:sz w:val="28"/>
          <w:szCs w:val="28"/>
          <w:cs/>
          <w:lang w:bidi="fa-IR"/>
        </w:rPr>
        <w:t>‎</w:t>
      </w:r>
      <w:r w:rsidRPr="00FC0E22">
        <w:rPr>
          <w:rFonts w:cs="B Mitra"/>
          <w:sz w:val="28"/>
          <w:szCs w:val="28"/>
          <w:rtl/>
          <w:lang w:bidi="fa-IR"/>
        </w:rPr>
        <w:t>توان گفت: اخباری که دلالت بر ثبوت خيار برای زوج به نحو مطلق دارند را می</w:t>
      </w:r>
      <w:r w:rsidRPr="00FC0E22">
        <w:rPr>
          <w:rFonts w:cs="B Mitra"/>
          <w:sz w:val="28"/>
          <w:szCs w:val="28"/>
          <w:cs/>
          <w:lang w:bidi="fa-IR"/>
        </w:rPr>
        <w:t>‎</w:t>
      </w:r>
      <w:r w:rsidRPr="00FC0E22">
        <w:rPr>
          <w:rFonts w:cs="B Mitra"/>
          <w:sz w:val="28"/>
          <w:szCs w:val="28"/>
          <w:rtl/>
          <w:lang w:bidi="fa-IR"/>
        </w:rPr>
        <w:t>توان بر اساس مطلب مذکور تفصيل داد و نتيجه گرفت که آنچه که در اخبار مختلف ذکر شده است، از باب تعيين مصداق برای تدليس</w:t>
      </w:r>
      <w:r>
        <w:rPr>
          <w:rFonts w:cs="B Mitra"/>
          <w:sz w:val="28"/>
          <w:szCs w:val="28"/>
          <w:lang w:bidi="fa-IR"/>
        </w:rPr>
        <w:t xml:space="preserve">     </w:t>
      </w:r>
      <w:r w:rsidRPr="00FC0E22">
        <w:rPr>
          <w:rFonts w:cs="B Mitra"/>
          <w:sz w:val="28"/>
          <w:szCs w:val="28"/>
          <w:rtl/>
          <w:lang w:bidi="fa-IR"/>
        </w:rPr>
        <w:t>هستند و منافاتی با يکديگر ندارند، يعنی ذکر برص، جذام، عرج، عمی و امثال آن در زن و عدم ذکر آن در مرد، بدين سبب است که اين عيوب در مردان نوعاً آشکار بوده و امکان اخفاء آنها وجود ندارد، در حالی که در خصوص زنان اخفاء اين عيوب امری نوعی است و حتی در زمان حاضر نيز بسياری از زنان چنين عيوبی و يا امراض ديگر خود را مخفی نگه می</w:t>
      </w:r>
      <w:r w:rsidRPr="00FC0E22">
        <w:rPr>
          <w:rFonts w:cs="B Mitra"/>
          <w:sz w:val="28"/>
          <w:szCs w:val="28"/>
          <w:cs/>
          <w:lang w:bidi="fa-IR"/>
        </w:rPr>
        <w:t>‎</w:t>
      </w:r>
      <w:r w:rsidRPr="00FC0E22">
        <w:rPr>
          <w:rFonts w:cs="B Mitra"/>
          <w:sz w:val="28"/>
          <w:szCs w:val="28"/>
          <w:rtl/>
          <w:lang w:bidi="fa-IR"/>
        </w:rPr>
        <w:t>دارند.</w:t>
      </w:r>
    </w:p>
    <w:p w14:paraId="7F8CE1EF" w14:textId="77777777" w:rsidR="00FC0E22" w:rsidRPr="00FC0E22" w:rsidRDefault="00FC0E22" w:rsidP="00595B11">
      <w:pPr>
        <w:bidi/>
        <w:ind w:left="1440"/>
        <w:rPr>
          <w:rFonts w:cs="B Mitra"/>
          <w:sz w:val="28"/>
          <w:szCs w:val="28"/>
          <w:lang w:bidi="fa-IR"/>
        </w:rPr>
      </w:pPr>
      <w:r w:rsidRPr="00FC0E22">
        <w:rPr>
          <w:rFonts w:cs="B Mitra"/>
          <w:sz w:val="28"/>
          <w:szCs w:val="28"/>
          <w:rtl/>
          <w:lang w:bidi="fa-IR"/>
        </w:rPr>
        <w:t>با توجه به اين مطلب پاسخ اشکال مقدری نيز داده می</w:t>
      </w:r>
      <w:r w:rsidRPr="00FC0E22">
        <w:rPr>
          <w:rFonts w:cs="B Mitra"/>
          <w:sz w:val="28"/>
          <w:szCs w:val="28"/>
          <w:cs/>
          <w:lang w:bidi="fa-IR"/>
        </w:rPr>
        <w:t>‎</w:t>
      </w:r>
      <w:r w:rsidRPr="00FC0E22">
        <w:rPr>
          <w:rFonts w:cs="B Mitra"/>
          <w:sz w:val="28"/>
          <w:szCs w:val="28"/>
          <w:rtl/>
          <w:lang w:bidi="fa-IR"/>
        </w:rPr>
        <w:t>شود و آن اين که اگر مرد با وجود اين که امکان طلاق دارد، بتواند نکاح را در جايی که زن دارای جذام، برص يا عرج است فسخ کند، بايد گفت که زن به طريق اولی در اين موارد حق فسخ خواهد داشت در حالی که در کلام فقهاء در خصوص عيوب مرد که موجب حق فسخ زن می</w:t>
      </w:r>
      <w:r w:rsidRPr="00FC0E22">
        <w:rPr>
          <w:rFonts w:cs="B Mitra"/>
          <w:sz w:val="28"/>
          <w:szCs w:val="28"/>
          <w:cs/>
          <w:lang w:bidi="fa-IR"/>
        </w:rPr>
        <w:t>‎</w:t>
      </w:r>
      <w:r w:rsidRPr="00FC0E22">
        <w:rPr>
          <w:rFonts w:cs="B Mitra"/>
          <w:sz w:val="28"/>
          <w:szCs w:val="28"/>
          <w:rtl/>
          <w:lang w:bidi="fa-IR"/>
        </w:rPr>
        <w:t>شود، اقرار به اين مطلب نشده است.</w:t>
      </w:r>
    </w:p>
    <w:p w14:paraId="3B2A71C7" w14:textId="77777777" w:rsidR="00FC0E22" w:rsidRPr="00FC0E22" w:rsidRDefault="00FC0E22" w:rsidP="00595B11">
      <w:pPr>
        <w:bidi/>
        <w:ind w:left="1440"/>
        <w:rPr>
          <w:rFonts w:cs="B Mitra"/>
          <w:sz w:val="28"/>
          <w:szCs w:val="28"/>
          <w:lang w:bidi="fa-IR"/>
        </w:rPr>
      </w:pPr>
      <w:r>
        <w:rPr>
          <w:rFonts w:cs="B Mitra"/>
          <w:sz w:val="28"/>
          <w:szCs w:val="28"/>
          <w:lang w:bidi="fa-IR"/>
        </w:rPr>
        <w:t xml:space="preserve">  </w:t>
      </w:r>
      <w:r w:rsidRPr="00FC0E22">
        <w:rPr>
          <w:rFonts w:cs="B Mitra"/>
          <w:sz w:val="28"/>
          <w:szCs w:val="28"/>
          <w:rtl/>
          <w:lang w:bidi="fa-IR"/>
        </w:rPr>
        <w:t>پاسخ اين است که همان گونه که گفته شد، وجه ذکر اين موارد در خصوص زن، اين نيست که حق فسخ به واسطه اين موارد اختصاص به مرد دارد، بلکه از اين جهت است که در زنان نوعاً اين عيوب مخفی است و صدق تدليس در آنها می</w:t>
      </w:r>
      <w:r w:rsidRPr="00FC0E22">
        <w:rPr>
          <w:rFonts w:cs="B Mitra"/>
          <w:sz w:val="28"/>
          <w:szCs w:val="28"/>
          <w:cs/>
          <w:lang w:bidi="fa-IR"/>
        </w:rPr>
        <w:t>‎</w:t>
      </w:r>
      <w:r w:rsidRPr="00FC0E22">
        <w:rPr>
          <w:rFonts w:cs="B Mitra"/>
          <w:sz w:val="28"/>
          <w:szCs w:val="28"/>
          <w:rtl/>
          <w:lang w:bidi="fa-IR"/>
        </w:rPr>
        <w:t>شود، در حالی که در مردان نوعاً اين عيوب آشکار بوده و تدليس صدق نمی</w:t>
      </w:r>
      <w:r w:rsidRPr="00FC0E22">
        <w:rPr>
          <w:rFonts w:cs="B Mitra"/>
          <w:sz w:val="28"/>
          <w:szCs w:val="28"/>
          <w:cs/>
          <w:lang w:bidi="fa-IR"/>
        </w:rPr>
        <w:t>‎</w:t>
      </w:r>
      <w:r w:rsidRPr="00FC0E22">
        <w:rPr>
          <w:rFonts w:cs="B Mitra"/>
          <w:sz w:val="28"/>
          <w:szCs w:val="28"/>
          <w:rtl/>
          <w:lang w:bidi="fa-IR"/>
        </w:rPr>
        <w:t>کند.</w:t>
      </w:r>
    </w:p>
    <w:p w14:paraId="665BA892" w14:textId="77777777" w:rsidR="00FC0E22" w:rsidRPr="00FC0E22" w:rsidRDefault="00FC0E22" w:rsidP="00595B11">
      <w:pPr>
        <w:bidi/>
        <w:ind w:left="1440"/>
        <w:rPr>
          <w:rFonts w:cs="B Mitra"/>
          <w:sz w:val="28"/>
          <w:szCs w:val="28"/>
          <w:lang w:bidi="fa-IR"/>
        </w:rPr>
      </w:pPr>
      <w:r w:rsidRPr="00FC0E22">
        <w:rPr>
          <w:rFonts w:cs="B Mitra"/>
          <w:sz w:val="28"/>
          <w:szCs w:val="28"/>
          <w:rtl/>
          <w:lang w:bidi="fa-IR"/>
        </w:rPr>
        <w:t>آنچه که گفته شد را می</w:t>
      </w:r>
      <w:r w:rsidRPr="00FC0E22">
        <w:rPr>
          <w:rFonts w:cs="B Mitra"/>
          <w:sz w:val="28"/>
          <w:szCs w:val="28"/>
          <w:cs/>
          <w:lang w:bidi="fa-IR"/>
        </w:rPr>
        <w:t>‎</w:t>
      </w:r>
      <w:r w:rsidRPr="00FC0E22">
        <w:rPr>
          <w:rFonts w:cs="B Mitra"/>
          <w:sz w:val="28"/>
          <w:szCs w:val="28"/>
          <w:rtl/>
          <w:lang w:bidi="fa-IR"/>
        </w:rPr>
        <w:t>توان از کلام برخی از اصحاب نيز استشعار نمود.</w:t>
      </w:r>
    </w:p>
    <w:p w14:paraId="655EDB9A" w14:textId="77777777" w:rsidR="00FC0E22" w:rsidRPr="00FC0E22" w:rsidRDefault="00FC0E22" w:rsidP="00595B11">
      <w:pPr>
        <w:bidi/>
        <w:ind w:left="1440"/>
        <w:rPr>
          <w:rFonts w:cs="B Mitra"/>
          <w:sz w:val="28"/>
          <w:szCs w:val="28"/>
          <w:lang w:bidi="fa-IR"/>
        </w:rPr>
      </w:pPr>
      <w:r w:rsidRPr="00FC0E22">
        <w:rPr>
          <w:rFonts w:cs="B Mitra"/>
          <w:sz w:val="28"/>
          <w:szCs w:val="28"/>
          <w:rtl/>
          <w:lang w:bidi="fa-IR"/>
        </w:rPr>
        <w:t>قال ابن البرّاج في المهذّب: «عقد النكاح ينفسخ بعيوب، منها: ما يختصّ الرجل، ومنها: ما يختصّ المرأة، ومنها: ما يصحّ اشتراك الرجل والمرأة فيه.</w:t>
      </w:r>
    </w:p>
    <w:p w14:paraId="14A678C2" w14:textId="77777777" w:rsidR="00FC0E22" w:rsidRPr="00FC0E22" w:rsidRDefault="00FC0E22" w:rsidP="00595B11">
      <w:pPr>
        <w:bidi/>
        <w:ind w:left="1440"/>
        <w:rPr>
          <w:rFonts w:cs="B Mitra"/>
          <w:sz w:val="28"/>
          <w:szCs w:val="28"/>
          <w:lang w:bidi="fa-IR"/>
        </w:rPr>
      </w:pPr>
      <w:r w:rsidRPr="00FC0E22">
        <w:rPr>
          <w:rFonts w:cs="B Mitra"/>
          <w:sz w:val="28"/>
          <w:szCs w:val="28"/>
          <w:rtl/>
          <w:lang w:bidi="fa-IR"/>
        </w:rPr>
        <w:t xml:space="preserve">فأمّا ما يختصّ الرجل فهو الجبّ والعنت. وأمّا ما يختصّ المرأة فهو الرتق والقرن والإفضاء وكونها محدودة في الزنا. وأمّا ما يصحّ اشتراك الرجل والمرأة فيه فهوالجنون والجذام والبرص والعمى.»  </w:t>
      </w:r>
    </w:p>
    <w:p w14:paraId="517361D9" w14:textId="77777777" w:rsidR="00FC0E22" w:rsidRPr="00FC0E22" w:rsidRDefault="00FC0E22" w:rsidP="00595B11">
      <w:pPr>
        <w:bidi/>
        <w:ind w:left="1440"/>
        <w:rPr>
          <w:rFonts w:cs="B Mitra"/>
          <w:sz w:val="28"/>
          <w:szCs w:val="28"/>
          <w:lang w:bidi="fa-IR"/>
        </w:rPr>
      </w:pPr>
      <w:r w:rsidRPr="00FC0E22">
        <w:rPr>
          <w:rFonts w:cs="B Mitra"/>
          <w:sz w:val="28"/>
          <w:szCs w:val="28"/>
          <w:rtl/>
          <w:lang w:bidi="fa-IR"/>
        </w:rPr>
        <w:t>وقال العلامة في المختلف: «المشهور: اختصاص البرص والجذام بالمرأة، فلا يردّ الزوج بهما؛ وبه قال ابن البرّاج في الكامل. وقال في المهذّب: إنّه مشترك بين الرجل والمرأة...</w:t>
      </w:r>
    </w:p>
    <w:p w14:paraId="527DA496" w14:textId="77777777" w:rsidR="00FC0E22" w:rsidRPr="00FC0E22" w:rsidRDefault="00FC0E22" w:rsidP="00595B11">
      <w:pPr>
        <w:bidi/>
        <w:ind w:left="1440"/>
        <w:rPr>
          <w:rFonts w:cs="B Mitra"/>
          <w:sz w:val="28"/>
          <w:szCs w:val="28"/>
          <w:lang w:bidi="fa-IR"/>
        </w:rPr>
      </w:pPr>
      <w:r w:rsidRPr="00FC0E22">
        <w:rPr>
          <w:rFonts w:cs="B Mitra"/>
          <w:sz w:val="28"/>
          <w:szCs w:val="28"/>
          <w:rtl/>
          <w:lang w:bidi="fa-IR"/>
        </w:rPr>
        <w:lastRenderedPageBreak/>
        <w:t>وابن الجنيد يوهم كلامه ذلك، فإنّه قال: «الذي يردّ به النكاح من العيوب: الجنون والبرص والجذام والداء يمنع الوطء، وسواء كان ذلك بالرجل أو المرأة ما لم يعلم البرء منهما فيمسك عن المطالبة.».</w:t>
      </w:r>
    </w:p>
    <w:p w14:paraId="391FF7C4" w14:textId="77777777" w:rsidR="00FC0E22" w:rsidRPr="00FC0E22" w:rsidRDefault="00FC0E22" w:rsidP="00595B11">
      <w:pPr>
        <w:bidi/>
        <w:ind w:left="1440"/>
        <w:rPr>
          <w:rFonts w:cs="B Mitra"/>
          <w:sz w:val="28"/>
          <w:szCs w:val="28"/>
          <w:lang w:bidi="fa-IR"/>
        </w:rPr>
      </w:pPr>
      <w:r w:rsidRPr="00FC0E22">
        <w:rPr>
          <w:rFonts w:cs="B Mitra"/>
          <w:sz w:val="28"/>
          <w:szCs w:val="28"/>
          <w:rtl/>
          <w:lang w:bidi="fa-IR"/>
        </w:rPr>
        <w:t>وكلام ابن البرّاج حسن لا بأس به.»</w:t>
      </w:r>
    </w:p>
    <w:p w14:paraId="1A70FBEA" w14:textId="77777777" w:rsidR="00FC0E22" w:rsidRPr="00FC0E22" w:rsidRDefault="00FC0E22" w:rsidP="00595B11">
      <w:pPr>
        <w:bidi/>
        <w:ind w:left="1440"/>
        <w:rPr>
          <w:rFonts w:cs="B Mitra"/>
          <w:sz w:val="28"/>
          <w:szCs w:val="28"/>
          <w:lang w:bidi="fa-IR"/>
        </w:rPr>
      </w:pPr>
      <w:r w:rsidRPr="00FC0E22">
        <w:rPr>
          <w:rFonts w:cs="B Mitra"/>
          <w:sz w:val="28"/>
          <w:szCs w:val="28"/>
          <w:rtl/>
          <w:lang w:bidi="fa-IR"/>
        </w:rPr>
        <w:t>البته همان گونه که گذشت، تعليل اين مطلب اين است که هم در زن و هم در مرد، جواز فسخ به واسطه اين عيوب مبتنی بر تحقق تدليس است.</w:t>
      </w:r>
    </w:p>
    <w:p w14:paraId="031B98BD" w14:textId="7B7CEE16" w:rsidR="00FC0E22" w:rsidRPr="00FC0E22" w:rsidRDefault="00FC0E22" w:rsidP="00595B11">
      <w:pPr>
        <w:bidi/>
        <w:ind w:left="1440"/>
        <w:rPr>
          <w:rFonts w:cs="B Mitra"/>
          <w:sz w:val="28"/>
          <w:szCs w:val="28"/>
          <w:lang w:bidi="fa-IR"/>
        </w:rPr>
      </w:pPr>
    </w:p>
    <w:p w14:paraId="1AD8AC36" w14:textId="54BF2C74" w:rsidR="00FC0E22" w:rsidRPr="00FC0E22" w:rsidRDefault="00FC0E22" w:rsidP="00595B11">
      <w:pPr>
        <w:bidi/>
        <w:ind w:left="1440"/>
        <w:rPr>
          <w:rFonts w:cs="B Mitra"/>
          <w:sz w:val="28"/>
          <w:szCs w:val="28"/>
          <w:lang w:bidi="fa-IR"/>
        </w:rPr>
      </w:pPr>
    </w:p>
    <w:p w14:paraId="13335E5C" w14:textId="36C15A6E" w:rsidR="00FC0E22" w:rsidRPr="00FC0E22" w:rsidRDefault="00FC0E22" w:rsidP="00595B11">
      <w:pPr>
        <w:bidi/>
        <w:ind w:left="1440"/>
        <w:rPr>
          <w:rFonts w:cs="B Mitra"/>
          <w:sz w:val="28"/>
          <w:szCs w:val="28"/>
        </w:rPr>
      </w:pPr>
    </w:p>
    <w:p w14:paraId="21DF8BCE" w14:textId="77777777" w:rsidR="00712FC3" w:rsidRPr="00FC0E22" w:rsidRDefault="00712FC3" w:rsidP="00595B11">
      <w:pPr>
        <w:bidi/>
        <w:ind w:left="1440"/>
        <w:rPr>
          <w:rFonts w:cs="B Mitra"/>
          <w:sz w:val="28"/>
          <w:szCs w:val="28"/>
        </w:rPr>
      </w:pPr>
    </w:p>
    <w:sectPr w:rsidR="00712FC3" w:rsidRPr="00FC0E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22"/>
    <w:rsid w:val="00595B11"/>
    <w:rsid w:val="00712FC3"/>
    <w:rsid w:val="008A0B6D"/>
    <w:rsid w:val="00FC0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52D0"/>
  <w15:chartTrackingRefBased/>
  <w15:docId w15:val="{3875D922-C69E-4589-B220-D69BA569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012968">
      <w:bodyDiv w:val="1"/>
      <w:marLeft w:val="0"/>
      <w:marRight w:val="0"/>
      <w:marTop w:val="0"/>
      <w:marBottom w:val="0"/>
      <w:divBdr>
        <w:top w:val="none" w:sz="0" w:space="0" w:color="auto"/>
        <w:left w:val="none" w:sz="0" w:space="0" w:color="auto"/>
        <w:bottom w:val="none" w:sz="0" w:space="0" w:color="auto"/>
        <w:right w:val="none" w:sz="0" w:space="0" w:color="auto"/>
      </w:divBdr>
    </w:div>
    <w:div w:id="492068758">
      <w:bodyDiv w:val="1"/>
      <w:marLeft w:val="0"/>
      <w:marRight w:val="0"/>
      <w:marTop w:val="0"/>
      <w:marBottom w:val="0"/>
      <w:divBdr>
        <w:top w:val="none" w:sz="0" w:space="0" w:color="auto"/>
        <w:left w:val="none" w:sz="0" w:space="0" w:color="auto"/>
        <w:bottom w:val="none" w:sz="0" w:space="0" w:color="auto"/>
        <w:right w:val="none" w:sz="0" w:space="0" w:color="auto"/>
      </w:divBdr>
    </w:div>
    <w:div w:id="566762556">
      <w:bodyDiv w:val="1"/>
      <w:marLeft w:val="0"/>
      <w:marRight w:val="0"/>
      <w:marTop w:val="0"/>
      <w:marBottom w:val="0"/>
      <w:divBdr>
        <w:top w:val="none" w:sz="0" w:space="0" w:color="auto"/>
        <w:left w:val="none" w:sz="0" w:space="0" w:color="auto"/>
        <w:bottom w:val="none" w:sz="0" w:space="0" w:color="auto"/>
        <w:right w:val="none" w:sz="0" w:space="0" w:color="auto"/>
      </w:divBdr>
    </w:div>
    <w:div w:id="1217593850">
      <w:bodyDiv w:val="1"/>
      <w:marLeft w:val="0"/>
      <w:marRight w:val="0"/>
      <w:marTop w:val="0"/>
      <w:marBottom w:val="0"/>
      <w:divBdr>
        <w:top w:val="none" w:sz="0" w:space="0" w:color="auto"/>
        <w:left w:val="none" w:sz="0" w:space="0" w:color="auto"/>
        <w:bottom w:val="none" w:sz="0" w:space="0" w:color="auto"/>
        <w:right w:val="none" w:sz="0" w:space="0" w:color="auto"/>
      </w:divBdr>
    </w:div>
    <w:div w:id="1490563313">
      <w:bodyDiv w:val="1"/>
      <w:marLeft w:val="0"/>
      <w:marRight w:val="0"/>
      <w:marTop w:val="0"/>
      <w:marBottom w:val="0"/>
      <w:divBdr>
        <w:top w:val="none" w:sz="0" w:space="0" w:color="auto"/>
        <w:left w:val="none" w:sz="0" w:space="0" w:color="auto"/>
        <w:bottom w:val="none" w:sz="0" w:space="0" w:color="auto"/>
        <w:right w:val="none" w:sz="0" w:space="0" w:color="auto"/>
      </w:divBdr>
    </w:div>
    <w:div w:id="1834448833">
      <w:bodyDiv w:val="1"/>
      <w:marLeft w:val="0"/>
      <w:marRight w:val="0"/>
      <w:marTop w:val="0"/>
      <w:marBottom w:val="0"/>
      <w:divBdr>
        <w:top w:val="none" w:sz="0" w:space="0" w:color="auto"/>
        <w:left w:val="none" w:sz="0" w:space="0" w:color="auto"/>
        <w:bottom w:val="none" w:sz="0" w:space="0" w:color="auto"/>
        <w:right w:val="none" w:sz="0" w:space="0" w:color="auto"/>
      </w:divBdr>
    </w:div>
    <w:div w:id="205947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620</Words>
  <Characters>3536</Characters>
  <Application>Microsoft Office Word</Application>
  <DocSecurity>0</DocSecurity>
  <Lines>29</Lines>
  <Paragraphs>8</Paragraphs>
  <ScaleCrop>false</ScaleCrop>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alireZa ansarinia</cp:lastModifiedBy>
  <cp:revision>4</cp:revision>
  <dcterms:created xsi:type="dcterms:W3CDTF">2022-05-08T06:20:00Z</dcterms:created>
  <dcterms:modified xsi:type="dcterms:W3CDTF">2022-05-08T11:53:00Z</dcterms:modified>
</cp:coreProperties>
</file>